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9A" w:rsidRDefault="00D1699A" w:rsidP="00D1699A">
      <w:pPr>
        <w:pStyle w:val="Default"/>
        <w:jc w:val="both"/>
        <w:rPr>
          <w:sz w:val="26"/>
          <w:szCs w:val="26"/>
        </w:rPr>
      </w:pPr>
      <w:bookmarkStart w:id="0" w:name="_GoBack"/>
      <w:r>
        <w:t xml:space="preserve"> </w:t>
      </w:r>
      <w:r>
        <w:rPr>
          <w:b/>
          <w:bCs/>
          <w:sz w:val="26"/>
          <w:szCs w:val="26"/>
        </w:rPr>
        <w:t xml:space="preserve">Information and communication technology (ICT): </w:t>
      </w:r>
    </w:p>
    <w:bookmarkEnd w:id="0"/>
    <w:p w:rsidR="00D1699A" w:rsidRPr="00D1699A" w:rsidRDefault="00D1699A" w:rsidP="00D1699A">
      <w:pPr>
        <w:pStyle w:val="Default"/>
        <w:jc w:val="both"/>
        <w:rPr>
          <w:rFonts w:ascii="Calibri" w:hAnsi="Calibri" w:cs="Calibri"/>
          <w:sz w:val="20"/>
          <w:szCs w:val="20"/>
        </w:rPr>
      </w:pPr>
      <w:r w:rsidRPr="00D1699A">
        <w:rPr>
          <w:rFonts w:ascii="Calibri" w:hAnsi="Calibri" w:cs="Calibri"/>
          <w:sz w:val="20"/>
          <w:szCs w:val="20"/>
        </w:rPr>
        <w:t xml:space="preserve">Information and communication technology (ICT) involves the use of computers, its applications and communications facilities in teaching and learning activities. The use of ICT extends to all the teaching and learning in all subjects across the curriculum. The effective use of ICT is an ‘Approaches </w:t>
      </w:r>
      <w:proofErr w:type="gramStart"/>
      <w:r w:rsidRPr="00D1699A">
        <w:rPr>
          <w:rFonts w:ascii="Calibri" w:hAnsi="Calibri" w:cs="Calibri"/>
          <w:sz w:val="20"/>
          <w:szCs w:val="20"/>
        </w:rPr>
        <w:t>To</w:t>
      </w:r>
      <w:proofErr w:type="gramEnd"/>
      <w:r w:rsidRPr="00D1699A">
        <w:rPr>
          <w:rFonts w:ascii="Calibri" w:hAnsi="Calibri" w:cs="Calibri"/>
          <w:sz w:val="20"/>
          <w:szCs w:val="20"/>
        </w:rPr>
        <w:t xml:space="preserve"> Learning’ (ATL) skill. </w:t>
      </w:r>
    </w:p>
    <w:p w:rsidR="00D1699A" w:rsidRPr="00D1699A" w:rsidRDefault="00D1699A" w:rsidP="00D1699A">
      <w:pPr>
        <w:pStyle w:val="Default"/>
        <w:jc w:val="both"/>
        <w:rPr>
          <w:rFonts w:ascii="Calibri" w:hAnsi="Calibri" w:cs="Calibri"/>
          <w:sz w:val="20"/>
          <w:szCs w:val="20"/>
        </w:rPr>
      </w:pPr>
      <w:r w:rsidRPr="00D1699A">
        <w:rPr>
          <w:rFonts w:ascii="Calibri" w:hAnsi="Calibri" w:cs="Calibri"/>
          <w:sz w:val="20"/>
          <w:szCs w:val="20"/>
        </w:rPr>
        <w:t xml:space="preserve">Schools must ensure that a whole-school approach is in place to allow students to develop information technology literacy and become competent users of computers. </w:t>
      </w:r>
    </w:p>
    <w:p w:rsidR="00D1699A" w:rsidRPr="00D1699A" w:rsidRDefault="00D1699A" w:rsidP="00D1699A">
      <w:pPr>
        <w:pStyle w:val="Default"/>
        <w:jc w:val="both"/>
        <w:rPr>
          <w:rFonts w:ascii="Calibri" w:hAnsi="Calibri" w:cs="Calibri"/>
          <w:sz w:val="20"/>
          <w:szCs w:val="20"/>
        </w:rPr>
      </w:pPr>
      <w:r w:rsidRPr="00D1699A">
        <w:rPr>
          <w:rFonts w:ascii="Calibri" w:hAnsi="Calibri" w:cs="Calibri"/>
          <w:sz w:val="20"/>
          <w:szCs w:val="20"/>
        </w:rPr>
        <w:t xml:space="preserve">Depending upon the school resources, ICT should be used whenever appropriate: </w:t>
      </w:r>
    </w:p>
    <w:p w:rsidR="00D1699A" w:rsidRPr="00D1699A" w:rsidRDefault="00D1699A" w:rsidP="00D1699A">
      <w:pPr>
        <w:pStyle w:val="Default"/>
        <w:jc w:val="both"/>
        <w:rPr>
          <w:rFonts w:ascii="Calibri" w:hAnsi="Calibri" w:cs="Calibri"/>
          <w:sz w:val="20"/>
          <w:szCs w:val="20"/>
        </w:rPr>
      </w:pPr>
      <w:r w:rsidRPr="00D1699A">
        <w:rPr>
          <w:rFonts w:ascii="Times New Roman" w:hAnsi="Times New Roman" w:cs="Times New Roman"/>
          <w:sz w:val="20"/>
          <w:szCs w:val="20"/>
        </w:rPr>
        <w:t xml:space="preserve">• </w:t>
      </w:r>
      <w:r w:rsidRPr="00D1699A">
        <w:rPr>
          <w:rFonts w:ascii="Calibri" w:hAnsi="Calibri" w:cs="Calibri"/>
          <w:sz w:val="20"/>
          <w:szCs w:val="20"/>
        </w:rPr>
        <w:t xml:space="preserve">As a means of expanding students’ knowledge of the world in which they live </w:t>
      </w:r>
    </w:p>
    <w:p w:rsidR="00D1699A" w:rsidRPr="00D1699A" w:rsidRDefault="00D1699A" w:rsidP="00D1699A">
      <w:pPr>
        <w:pStyle w:val="Default"/>
        <w:jc w:val="both"/>
        <w:rPr>
          <w:rFonts w:ascii="Calibri" w:hAnsi="Calibri" w:cs="Calibri"/>
          <w:sz w:val="20"/>
          <w:szCs w:val="20"/>
        </w:rPr>
      </w:pPr>
      <w:r w:rsidRPr="00D1699A">
        <w:rPr>
          <w:rFonts w:ascii="Times New Roman" w:hAnsi="Times New Roman" w:cs="Times New Roman"/>
          <w:sz w:val="20"/>
          <w:szCs w:val="20"/>
        </w:rPr>
        <w:t xml:space="preserve">• </w:t>
      </w:r>
      <w:r w:rsidRPr="00D1699A">
        <w:rPr>
          <w:rFonts w:ascii="Calibri" w:hAnsi="Calibri" w:cs="Calibri"/>
          <w:sz w:val="20"/>
          <w:szCs w:val="20"/>
        </w:rPr>
        <w:t xml:space="preserve">As a channel for developing concepts and skills </w:t>
      </w:r>
    </w:p>
    <w:p w:rsidR="00D1699A" w:rsidRPr="00D1699A" w:rsidRDefault="00D1699A" w:rsidP="00D1699A">
      <w:pPr>
        <w:pStyle w:val="Default"/>
        <w:jc w:val="both"/>
        <w:rPr>
          <w:rFonts w:ascii="Calibri" w:hAnsi="Calibri" w:cs="Calibri"/>
          <w:sz w:val="20"/>
          <w:szCs w:val="20"/>
        </w:rPr>
      </w:pPr>
      <w:r w:rsidRPr="00D1699A">
        <w:rPr>
          <w:rFonts w:ascii="Times New Roman" w:hAnsi="Times New Roman" w:cs="Times New Roman"/>
          <w:sz w:val="20"/>
          <w:szCs w:val="20"/>
        </w:rPr>
        <w:t xml:space="preserve">• </w:t>
      </w:r>
      <w:r w:rsidRPr="00D1699A">
        <w:rPr>
          <w:rFonts w:ascii="Calibri" w:hAnsi="Calibri" w:cs="Calibri"/>
          <w:sz w:val="20"/>
          <w:szCs w:val="20"/>
        </w:rPr>
        <w:t xml:space="preserve">As a powerful communication tool. </w:t>
      </w:r>
    </w:p>
    <w:p w:rsidR="00D1699A" w:rsidRDefault="00D1699A" w:rsidP="00D1699A">
      <w:pPr>
        <w:pStyle w:val="Default"/>
        <w:jc w:val="both"/>
        <w:rPr>
          <w:rFonts w:ascii="Calibri" w:hAnsi="Calibri" w:cs="Calibri"/>
          <w:sz w:val="22"/>
          <w:szCs w:val="22"/>
        </w:rPr>
      </w:pPr>
    </w:p>
    <w:p w:rsidR="00D1699A" w:rsidRDefault="00D1699A" w:rsidP="00D1699A">
      <w:pPr>
        <w:pStyle w:val="Default"/>
        <w:jc w:val="both"/>
        <w:rPr>
          <w:rFonts w:ascii="Calibri" w:hAnsi="Calibri" w:cs="Calibri"/>
          <w:sz w:val="22"/>
          <w:szCs w:val="22"/>
        </w:rPr>
      </w:pPr>
      <w:r>
        <w:rPr>
          <w:rFonts w:ascii="Calibri" w:hAnsi="Calibri" w:cs="Calibri"/>
          <w:sz w:val="22"/>
          <w:szCs w:val="22"/>
        </w:rPr>
        <w:t>ICT provides a wide range of resources and applications for teachers to explore in order to enhance teaching and learning</w:t>
      </w:r>
    </w:p>
    <w:p w:rsidR="00D1699A" w:rsidRDefault="00D1699A" w:rsidP="00D1699A">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3660"/>
        <w:gridCol w:w="3660"/>
      </w:tblGrid>
      <w:tr w:rsidR="00D1699A" w:rsidTr="00D1699A">
        <w:tblPrEx>
          <w:tblCellMar>
            <w:top w:w="0" w:type="dxa"/>
            <w:bottom w:w="0" w:type="dxa"/>
          </w:tblCellMar>
        </w:tblPrEx>
        <w:trPr>
          <w:trHeight w:val="87"/>
          <w:jc w:val="center"/>
        </w:trPr>
        <w:tc>
          <w:tcPr>
            <w:tcW w:w="3660" w:type="dxa"/>
          </w:tcPr>
          <w:p w:rsidR="00D1699A" w:rsidRPr="00D1699A" w:rsidRDefault="00D1699A" w:rsidP="00D1699A">
            <w:pPr>
              <w:pStyle w:val="Default"/>
              <w:jc w:val="both"/>
              <w:rPr>
                <w:rFonts w:asciiTheme="minorHAnsi" w:hAnsiTheme="minorHAnsi" w:cs="Calibri"/>
                <w:sz w:val="20"/>
                <w:szCs w:val="20"/>
              </w:rPr>
            </w:pPr>
            <w:r w:rsidRPr="00D1699A">
              <w:rPr>
                <w:rFonts w:asciiTheme="minorHAnsi" w:hAnsiTheme="minorHAnsi" w:cs="Calibri"/>
                <w:b/>
                <w:bCs/>
                <w:sz w:val="20"/>
                <w:szCs w:val="20"/>
              </w:rPr>
              <w:t xml:space="preserve">ATL skill area </w:t>
            </w:r>
          </w:p>
        </w:tc>
        <w:tc>
          <w:tcPr>
            <w:tcW w:w="3660" w:type="dxa"/>
          </w:tcPr>
          <w:p w:rsidR="00D1699A" w:rsidRPr="00D1699A" w:rsidRDefault="00D1699A" w:rsidP="00D1699A">
            <w:pPr>
              <w:pStyle w:val="Default"/>
              <w:jc w:val="both"/>
              <w:rPr>
                <w:rFonts w:asciiTheme="minorHAnsi" w:hAnsiTheme="minorHAnsi" w:cs="Calibri"/>
                <w:sz w:val="20"/>
                <w:szCs w:val="20"/>
              </w:rPr>
            </w:pPr>
            <w:r w:rsidRPr="00D1699A">
              <w:rPr>
                <w:rFonts w:asciiTheme="minorHAnsi" w:hAnsiTheme="minorHAnsi" w:cs="Calibri"/>
                <w:b/>
                <w:bCs/>
                <w:sz w:val="20"/>
                <w:szCs w:val="20"/>
              </w:rPr>
              <w:t xml:space="preserve">Student learning expectations could include: </w:t>
            </w:r>
          </w:p>
        </w:tc>
        <w:tc>
          <w:tcPr>
            <w:tcW w:w="3660" w:type="dxa"/>
          </w:tcPr>
          <w:p w:rsidR="00D1699A" w:rsidRPr="00D1699A" w:rsidRDefault="00D1699A" w:rsidP="00D1699A">
            <w:pPr>
              <w:pStyle w:val="Default"/>
              <w:jc w:val="both"/>
              <w:rPr>
                <w:rFonts w:asciiTheme="minorHAnsi" w:hAnsiTheme="minorHAnsi" w:cs="Calibri"/>
                <w:sz w:val="20"/>
                <w:szCs w:val="20"/>
              </w:rPr>
            </w:pPr>
            <w:r w:rsidRPr="00D1699A">
              <w:rPr>
                <w:rFonts w:asciiTheme="minorHAnsi" w:hAnsiTheme="minorHAnsi" w:cs="Calibri"/>
                <w:b/>
                <w:bCs/>
                <w:sz w:val="20"/>
                <w:szCs w:val="20"/>
              </w:rPr>
              <w:t xml:space="preserve">Key questions for use with MYP units of work </w:t>
            </w:r>
          </w:p>
        </w:tc>
      </w:tr>
      <w:tr w:rsidR="00D1699A" w:rsidTr="00D1699A">
        <w:tblPrEx>
          <w:tblCellMar>
            <w:top w:w="0" w:type="dxa"/>
            <w:bottom w:w="0" w:type="dxa"/>
          </w:tblCellMar>
        </w:tblPrEx>
        <w:trPr>
          <w:trHeight w:val="53"/>
          <w:jc w:val="center"/>
        </w:trPr>
        <w:tc>
          <w:tcPr>
            <w:tcW w:w="3660" w:type="dxa"/>
          </w:tcPr>
          <w:p w:rsidR="00D1699A" w:rsidRPr="00D1699A" w:rsidRDefault="00D1699A" w:rsidP="00D1699A">
            <w:pPr>
              <w:pStyle w:val="Default"/>
              <w:jc w:val="both"/>
              <w:rPr>
                <w:rFonts w:asciiTheme="minorHAnsi" w:hAnsiTheme="minorHAnsi" w:cs="Calibri"/>
                <w:sz w:val="20"/>
                <w:szCs w:val="20"/>
              </w:rPr>
            </w:pPr>
            <w:r w:rsidRPr="00D1699A">
              <w:rPr>
                <w:rFonts w:asciiTheme="minorHAnsi" w:hAnsiTheme="minorHAnsi" w:cs="Calibri"/>
                <w:b/>
                <w:bCs/>
                <w:sz w:val="20"/>
                <w:szCs w:val="20"/>
              </w:rPr>
              <w:t xml:space="preserve">Communication </w:t>
            </w:r>
          </w:p>
        </w:tc>
        <w:tc>
          <w:tcPr>
            <w:tcW w:w="3660" w:type="dxa"/>
          </w:tcPr>
          <w:p w:rsidR="00D1699A" w:rsidRPr="00D1699A" w:rsidRDefault="00D1699A" w:rsidP="00D1699A">
            <w:pPr>
              <w:pStyle w:val="Default"/>
              <w:rPr>
                <w:rFonts w:asciiTheme="minorHAnsi" w:hAnsiTheme="minorHAnsi" w:cs="Calibri"/>
                <w:sz w:val="20"/>
                <w:szCs w:val="20"/>
              </w:rPr>
            </w:pPr>
            <w:r w:rsidRPr="00D1699A">
              <w:rPr>
                <w:rFonts w:asciiTheme="minorHAnsi" w:hAnsiTheme="minorHAnsi" w:cs="Calibri"/>
                <w:b/>
                <w:bCs/>
                <w:sz w:val="20"/>
                <w:szCs w:val="20"/>
              </w:rPr>
              <w:t>Literacy</w:t>
            </w:r>
            <w:r w:rsidRPr="00D1699A">
              <w:rPr>
                <w:rFonts w:asciiTheme="minorHAnsi" w:hAnsiTheme="minorHAnsi" w:cs="Calibri"/>
                <w:sz w:val="20"/>
                <w:szCs w:val="20"/>
              </w:rPr>
              <w:t xml:space="preserve">: </w:t>
            </w:r>
          </w:p>
          <w:p w:rsidR="00D1699A" w:rsidRPr="00D1699A" w:rsidRDefault="00D1699A" w:rsidP="00D1699A">
            <w:pPr>
              <w:pStyle w:val="Default"/>
              <w:rPr>
                <w:rFonts w:asciiTheme="minorHAnsi" w:hAnsiTheme="minorHAnsi" w:cs="Calibri"/>
                <w:sz w:val="20"/>
                <w:szCs w:val="20"/>
              </w:rPr>
            </w:pPr>
            <w:r w:rsidRPr="00D1699A">
              <w:rPr>
                <w:rFonts w:asciiTheme="minorHAnsi" w:hAnsiTheme="minorHAnsi" w:cs="Calibri"/>
                <w:sz w:val="20"/>
                <w:szCs w:val="20"/>
              </w:rPr>
              <w:t xml:space="preserve">including reading strategies, using and interpreting a </w:t>
            </w: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range of content-specific terminology </w:t>
            </w:r>
          </w:p>
          <w:p w:rsidR="00D1699A" w:rsidRPr="00D1699A" w:rsidRDefault="00D1699A" w:rsidP="00D1699A">
            <w:pPr>
              <w:pStyle w:val="Default"/>
              <w:rPr>
                <w:rFonts w:asciiTheme="minorHAnsi" w:hAnsiTheme="minorHAnsi"/>
                <w:sz w:val="20"/>
                <w:szCs w:val="20"/>
              </w:rPr>
            </w:pPr>
            <w:r w:rsidRPr="00D1699A">
              <w:rPr>
                <w:rFonts w:asciiTheme="minorHAnsi" w:hAnsiTheme="minorHAnsi"/>
                <w:b/>
                <w:bCs/>
                <w:sz w:val="20"/>
                <w:szCs w:val="20"/>
              </w:rPr>
              <w:t xml:space="preserve">Being informed: </w:t>
            </w: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including the use of a variety of media </w:t>
            </w:r>
          </w:p>
          <w:p w:rsidR="00D1699A" w:rsidRPr="00D1699A" w:rsidRDefault="00D1699A" w:rsidP="00D1699A">
            <w:pPr>
              <w:pStyle w:val="Default"/>
              <w:rPr>
                <w:rFonts w:asciiTheme="minorHAnsi" w:hAnsiTheme="minorHAnsi"/>
                <w:sz w:val="20"/>
                <w:szCs w:val="20"/>
              </w:rPr>
            </w:pPr>
            <w:r w:rsidRPr="00D1699A">
              <w:rPr>
                <w:rFonts w:asciiTheme="minorHAnsi" w:hAnsiTheme="minorHAnsi"/>
                <w:b/>
                <w:bCs/>
                <w:sz w:val="20"/>
                <w:szCs w:val="20"/>
              </w:rPr>
              <w:t xml:space="preserve">Informing others: </w:t>
            </w:r>
          </w:p>
          <w:p w:rsidR="00D1699A" w:rsidRPr="00D1699A" w:rsidRDefault="00D1699A" w:rsidP="00D1699A">
            <w:pPr>
              <w:pStyle w:val="Default"/>
              <w:rPr>
                <w:rFonts w:asciiTheme="minorHAnsi" w:hAnsiTheme="minorHAnsi" w:cs="Calibri"/>
                <w:sz w:val="20"/>
                <w:szCs w:val="20"/>
              </w:rPr>
            </w:pPr>
            <w:r w:rsidRPr="00D1699A">
              <w:rPr>
                <w:rFonts w:asciiTheme="minorHAnsi" w:hAnsiTheme="minorHAnsi"/>
                <w:sz w:val="20"/>
                <w:szCs w:val="20"/>
              </w:rPr>
              <w:t xml:space="preserve">including presentation skills using a variety of media </w:t>
            </w:r>
          </w:p>
        </w:tc>
        <w:tc>
          <w:tcPr>
            <w:tcW w:w="3660" w:type="dxa"/>
          </w:tcPr>
          <w:p w:rsidR="00D1699A" w:rsidRPr="00D1699A" w:rsidRDefault="00D1699A" w:rsidP="00D1699A">
            <w:pPr>
              <w:pStyle w:val="Default"/>
              <w:rPr>
                <w:rFonts w:asciiTheme="minorHAnsi" w:hAnsiTheme="minorHAnsi" w:cs="Calibri"/>
                <w:sz w:val="20"/>
                <w:szCs w:val="20"/>
              </w:rPr>
            </w:pPr>
            <w:r w:rsidRPr="00D1699A">
              <w:rPr>
                <w:rFonts w:asciiTheme="minorHAnsi" w:hAnsiTheme="minorHAnsi" w:cs="Calibri"/>
                <w:sz w:val="20"/>
                <w:szCs w:val="20"/>
              </w:rPr>
              <w:t xml:space="preserve">What communication tools do I use? </w:t>
            </w:r>
          </w:p>
          <w:p w:rsidR="00D1699A" w:rsidRPr="00D1699A" w:rsidRDefault="00D1699A" w:rsidP="00D1699A">
            <w:pPr>
              <w:pStyle w:val="Default"/>
              <w:rPr>
                <w:rFonts w:asciiTheme="minorHAnsi" w:hAnsiTheme="minorHAnsi" w:cs="Calibri"/>
                <w:sz w:val="20"/>
                <w:szCs w:val="20"/>
              </w:rPr>
            </w:pP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Which ways of communicating do I need to improve on? </w:t>
            </w:r>
          </w:p>
          <w:p w:rsidR="00D1699A" w:rsidRPr="00D1699A" w:rsidRDefault="00D1699A" w:rsidP="00D1699A">
            <w:pPr>
              <w:pStyle w:val="Default"/>
              <w:rPr>
                <w:rFonts w:asciiTheme="minorHAnsi" w:hAnsiTheme="minorHAnsi"/>
                <w:sz w:val="20"/>
                <w:szCs w:val="20"/>
              </w:rPr>
            </w:pPr>
          </w:p>
          <w:p w:rsidR="00D1699A" w:rsidRPr="00D1699A" w:rsidRDefault="00D1699A" w:rsidP="00D1699A">
            <w:pPr>
              <w:pStyle w:val="Default"/>
              <w:rPr>
                <w:rFonts w:asciiTheme="minorHAnsi" w:hAnsiTheme="minorHAnsi" w:cs="Calibri"/>
                <w:sz w:val="20"/>
                <w:szCs w:val="20"/>
              </w:rPr>
            </w:pPr>
            <w:r w:rsidRPr="00D1699A">
              <w:rPr>
                <w:rFonts w:asciiTheme="minorHAnsi" w:hAnsiTheme="minorHAnsi"/>
                <w:sz w:val="20"/>
                <w:szCs w:val="20"/>
              </w:rPr>
              <w:t xml:space="preserve">How can I better communicate my understanding? </w:t>
            </w:r>
          </w:p>
        </w:tc>
      </w:tr>
      <w:tr w:rsidR="00D1699A" w:rsidTr="00D1699A">
        <w:tblPrEx>
          <w:tblCellMar>
            <w:top w:w="0" w:type="dxa"/>
            <w:bottom w:w="0" w:type="dxa"/>
          </w:tblCellMar>
        </w:tblPrEx>
        <w:trPr>
          <w:trHeight w:val="53"/>
          <w:jc w:val="center"/>
        </w:trPr>
        <w:tc>
          <w:tcPr>
            <w:tcW w:w="3660" w:type="dxa"/>
          </w:tcPr>
          <w:p w:rsidR="00D1699A" w:rsidRPr="00D1699A" w:rsidRDefault="00D1699A" w:rsidP="00D1699A">
            <w:pPr>
              <w:pStyle w:val="Default"/>
              <w:jc w:val="both"/>
              <w:rPr>
                <w:rFonts w:asciiTheme="minorHAnsi" w:hAnsiTheme="minorHAnsi" w:cs="Calibri"/>
                <w:b/>
                <w:bCs/>
                <w:sz w:val="20"/>
                <w:szCs w:val="20"/>
              </w:rPr>
            </w:pPr>
            <w:r w:rsidRPr="00D1699A">
              <w:rPr>
                <w:rFonts w:asciiTheme="minorHAnsi" w:hAnsiTheme="minorHAnsi"/>
                <w:b/>
                <w:bCs/>
                <w:sz w:val="20"/>
                <w:szCs w:val="20"/>
              </w:rPr>
              <w:t xml:space="preserve">Information literacy </w:t>
            </w:r>
          </w:p>
        </w:tc>
        <w:tc>
          <w:tcPr>
            <w:tcW w:w="3660" w:type="dxa"/>
          </w:tcPr>
          <w:p w:rsidR="00D1699A" w:rsidRPr="00D1699A" w:rsidRDefault="00D1699A" w:rsidP="00D1699A">
            <w:pPr>
              <w:pStyle w:val="Default"/>
              <w:rPr>
                <w:rFonts w:asciiTheme="minorHAnsi" w:hAnsiTheme="minorHAnsi"/>
                <w:sz w:val="20"/>
                <w:szCs w:val="20"/>
              </w:rPr>
            </w:pPr>
            <w:r w:rsidRPr="00D1699A">
              <w:rPr>
                <w:rFonts w:asciiTheme="minorHAnsi" w:hAnsiTheme="minorHAnsi"/>
                <w:b/>
                <w:bCs/>
                <w:sz w:val="20"/>
                <w:szCs w:val="20"/>
              </w:rPr>
              <w:t xml:space="preserve">Accessing information: </w:t>
            </w: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including researching from a variety of sources using a range of technologies, identifying primary and secondary sources </w:t>
            </w:r>
          </w:p>
          <w:p w:rsidR="00D1699A" w:rsidRPr="00D1699A" w:rsidRDefault="00D1699A" w:rsidP="00D1699A">
            <w:pPr>
              <w:pStyle w:val="Default"/>
              <w:rPr>
                <w:rFonts w:asciiTheme="minorHAnsi" w:hAnsiTheme="minorHAnsi"/>
                <w:sz w:val="20"/>
                <w:szCs w:val="20"/>
              </w:rPr>
            </w:pPr>
            <w:r w:rsidRPr="00D1699A">
              <w:rPr>
                <w:rFonts w:asciiTheme="minorHAnsi" w:hAnsiTheme="minorHAnsi"/>
                <w:b/>
                <w:bCs/>
                <w:sz w:val="20"/>
                <w:szCs w:val="20"/>
              </w:rPr>
              <w:t xml:space="preserve">Selecting and organizing information: </w:t>
            </w: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including identifying points of view, bias and weaknesses, using primary and secondary sources, making connections between a variety of resources </w:t>
            </w:r>
          </w:p>
          <w:p w:rsidR="00D1699A" w:rsidRPr="00D1699A" w:rsidRDefault="00D1699A" w:rsidP="00D1699A">
            <w:pPr>
              <w:pStyle w:val="Default"/>
              <w:rPr>
                <w:rFonts w:asciiTheme="minorHAnsi" w:hAnsiTheme="minorHAnsi"/>
                <w:sz w:val="20"/>
                <w:szCs w:val="20"/>
              </w:rPr>
            </w:pPr>
            <w:r w:rsidRPr="00D1699A">
              <w:rPr>
                <w:rFonts w:asciiTheme="minorHAnsi" w:hAnsiTheme="minorHAnsi"/>
                <w:b/>
                <w:bCs/>
                <w:sz w:val="20"/>
                <w:szCs w:val="20"/>
              </w:rPr>
              <w:t xml:space="preserve">Referencing: </w:t>
            </w:r>
          </w:p>
          <w:p w:rsidR="00D1699A" w:rsidRPr="00D1699A" w:rsidRDefault="00D1699A" w:rsidP="00D1699A">
            <w:pPr>
              <w:pStyle w:val="Default"/>
              <w:rPr>
                <w:rFonts w:asciiTheme="minorHAnsi" w:hAnsiTheme="minorHAnsi" w:cs="Calibri"/>
                <w:b/>
                <w:bCs/>
                <w:sz w:val="20"/>
                <w:szCs w:val="20"/>
              </w:rPr>
            </w:pPr>
            <w:r w:rsidRPr="00D1699A">
              <w:rPr>
                <w:rFonts w:asciiTheme="minorHAnsi" w:hAnsiTheme="minorHAnsi"/>
                <w:sz w:val="20"/>
                <w:szCs w:val="20"/>
              </w:rPr>
              <w:t xml:space="preserve">including the use of citing, footnotes and referencing of sources, respecting the concept of intellectual property rights </w:t>
            </w:r>
          </w:p>
        </w:tc>
        <w:tc>
          <w:tcPr>
            <w:tcW w:w="3660" w:type="dxa"/>
          </w:tcPr>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How can I access information? </w:t>
            </w:r>
          </w:p>
          <w:p w:rsidR="00D1699A" w:rsidRPr="00D1699A" w:rsidRDefault="00D1699A" w:rsidP="00D1699A">
            <w:pPr>
              <w:pStyle w:val="Default"/>
              <w:rPr>
                <w:rFonts w:asciiTheme="minorHAnsi" w:hAnsiTheme="minorHAnsi"/>
                <w:sz w:val="20"/>
                <w:szCs w:val="20"/>
              </w:rPr>
            </w:pPr>
          </w:p>
          <w:p w:rsidR="00D1699A" w:rsidRPr="00D1699A" w:rsidRDefault="00D1699A" w:rsidP="00D1699A">
            <w:pPr>
              <w:pStyle w:val="Default"/>
              <w:rPr>
                <w:rFonts w:asciiTheme="minorHAnsi" w:hAnsiTheme="minorHAnsi"/>
                <w:sz w:val="20"/>
                <w:szCs w:val="20"/>
              </w:rPr>
            </w:pPr>
            <w:r w:rsidRPr="00D1699A">
              <w:rPr>
                <w:rFonts w:asciiTheme="minorHAnsi" w:hAnsiTheme="minorHAnsi"/>
                <w:sz w:val="20"/>
                <w:szCs w:val="20"/>
              </w:rPr>
              <w:t xml:space="preserve">How do I know if the information is reliable? </w:t>
            </w:r>
          </w:p>
          <w:p w:rsidR="00D1699A" w:rsidRPr="00D1699A" w:rsidRDefault="00D1699A" w:rsidP="00D1699A">
            <w:pPr>
              <w:pStyle w:val="Default"/>
              <w:rPr>
                <w:rFonts w:asciiTheme="minorHAnsi" w:hAnsiTheme="minorHAnsi"/>
                <w:sz w:val="20"/>
                <w:szCs w:val="20"/>
              </w:rPr>
            </w:pPr>
          </w:p>
          <w:p w:rsidR="00D1699A" w:rsidRPr="00D1699A" w:rsidRDefault="00D1699A" w:rsidP="00D1699A">
            <w:pPr>
              <w:pStyle w:val="Default"/>
              <w:rPr>
                <w:rFonts w:asciiTheme="minorHAnsi" w:hAnsiTheme="minorHAnsi" w:cs="Calibri"/>
                <w:sz w:val="20"/>
                <w:szCs w:val="20"/>
              </w:rPr>
            </w:pPr>
            <w:r w:rsidRPr="00D1699A">
              <w:rPr>
                <w:rFonts w:asciiTheme="minorHAnsi" w:hAnsiTheme="minorHAnsi"/>
                <w:sz w:val="20"/>
                <w:szCs w:val="20"/>
              </w:rPr>
              <w:t xml:space="preserve">What will I do with this information? </w:t>
            </w:r>
          </w:p>
        </w:tc>
      </w:tr>
    </w:tbl>
    <w:p w:rsidR="00D1699A" w:rsidRDefault="00D1699A" w:rsidP="00D1699A">
      <w:pPr>
        <w:autoSpaceDE w:val="0"/>
        <w:autoSpaceDN w:val="0"/>
        <w:adjustRightInd w:val="0"/>
        <w:spacing w:after="0" w:line="240" w:lineRule="auto"/>
        <w:rPr>
          <w:rFonts w:ascii="Calibri" w:hAnsi="Calibri" w:cs="Calibri"/>
          <w:color w:val="000000"/>
        </w:rPr>
      </w:pPr>
      <w:r w:rsidRPr="00D1699A">
        <w:rPr>
          <w:rFonts w:ascii="Calibri" w:hAnsi="Calibri" w:cs="Calibri"/>
          <w:color w:val="000000"/>
        </w:rPr>
        <w:t xml:space="preserve">In most cases, technology teachers are given responsibility for providing students with the teaching and learning experiences to help them develop ICT literacy. The teaching of ICT skills </w:t>
      </w:r>
      <w:r w:rsidRPr="00D1699A">
        <w:rPr>
          <w:rFonts w:ascii="Calibri" w:hAnsi="Calibri" w:cs="Calibri"/>
          <w:b/>
          <w:bCs/>
          <w:color w:val="000000"/>
        </w:rPr>
        <w:t xml:space="preserve">should not be confused with or take the place of </w:t>
      </w:r>
      <w:r w:rsidRPr="00D1699A">
        <w:rPr>
          <w:rFonts w:ascii="Calibri" w:hAnsi="Calibri" w:cs="Calibri"/>
          <w:color w:val="000000"/>
        </w:rPr>
        <w:t xml:space="preserve">a computer technology course. ICT is simply a tool used to develop computer technology solutions using the Design Cycle. </w:t>
      </w:r>
    </w:p>
    <w:p w:rsidR="00D1699A" w:rsidRPr="00D1699A" w:rsidRDefault="00D1699A" w:rsidP="00D1699A">
      <w:pPr>
        <w:autoSpaceDE w:val="0"/>
        <w:autoSpaceDN w:val="0"/>
        <w:adjustRightInd w:val="0"/>
        <w:spacing w:after="0" w:line="240" w:lineRule="auto"/>
        <w:rPr>
          <w:rFonts w:ascii="Calibri" w:hAnsi="Calibri" w:cs="Calibri"/>
          <w:color w:val="000000"/>
          <w:sz w:val="16"/>
          <w:szCs w:val="16"/>
        </w:rPr>
      </w:pP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Calibri" w:hAnsi="Calibri" w:cs="Calibri"/>
          <w:b/>
          <w:bCs/>
          <w:color w:val="000000"/>
        </w:rPr>
        <w:t xml:space="preserve">Applications of ICT in MYP </w:t>
      </w:r>
    </w:p>
    <w:p w:rsidR="00D1699A" w:rsidRDefault="00D1699A" w:rsidP="00D1699A">
      <w:pPr>
        <w:autoSpaceDE w:val="0"/>
        <w:autoSpaceDN w:val="0"/>
        <w:adjustRightInd w:val="0"/>
        <w:spacing w:after="0" w:line="240" w:lineRule="auto"/>
        <w:rPr>
          <w:rFonts w:ascii="Wingdings" w:hAnsi="Wingdings" w:cs="Wingdings"/>
          <w:color w:val="000000"/>
        </w:rPr>
        <w:sectPr w:rsidR="00D1699A" w:rsidSect="00D1699A">
          <w:footerReference w:type="default" r:id="rId7"/>
          <w:pgSz w:w="12240" w:h="15840"/>
          <w:pgMar w:top="720" w:right="720" w:bottom="720" w:left="720" w:header="720" w:footer="720" w:gutter="0"/>
          <w:cols w:space="720"/>
          <w:docGrid w:linePitch="360"/>
        </w:sectPr>
      </w:pP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lastRenderedPageBreak/>
        <w:t></w:t>
      </w:r>
      <w:r w:rsidRPr="00D1699A">
        <w:rPr>
          <w:rFonts w:ascii="Wingdings" w:hAnsi="Wingdings" w:cs="Wingdings"/>
          <w:color w:val="000000"/>
        </w:rPr>
        <w:t></w:t>
      </w:r>
      <w:r w:rsidRPr="00D1699A">
        <w:rPr>
          <w:rFonts w:ascii="Calibri" w:hAnsi="Calibri" w:cs="Calibri"/>
          <w:color w:val="000000"/>
        </w:rPr>
        <w:t xml:space="preserve">Databases and spreadsheets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Graph plotter software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Dynamic geometry software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Computer algebra systems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Programming languages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Subject content-specific software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The uses of Graphic display calculators (GDC)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Use of Internet search engines to source materials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Researching using </w:t>
      </w:r>
      <w:proofErr w:type="spellStart"/>
      <w:proofErr w:type="gramStart"/>
      <w:r w:rsidRPr="00D1699A">
        <w:rPr>
          <w:rFonts w:ascii="Calibri" w:hAnsi="Calibri" w:cs="Calibri"/>
          <w:color w:val="000000"/>
        </w:rPr>
        <w:t>CD-Roms</w:t>
      </w:r>
      <w:proofErr w:type="spellEnd"/>
      <w:proofErr w:type="gramEnd"/>
      <w:r w:rsidRPr="00D1699A">
        <w:rPr>
          <w:rFonts w:ascii="Calibri" w:hAnsi="Calibri" w:cs="Calibri"/>
          <w:color w:val="000000"/>
        </w:rPr>
        <w:t xml:space="preserve">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Word processing or desktop publishing </w:t>
      </w:r>
    </w:p>
    <w:p w:rsidR="00D1699A" w:rsidRPr="00D1699A" w:rsidRDefault="00D1699A" w:rsidP="00D1699A">
      <w:pPr>
        <w:autoSpaceDE w:val="0"/>
        <w:autoSpaceDN w:val="0"/>
        <w:adjustRightInd w:val="0"/>
        <w:spacing w:after="0" w:line="240" w:lineRule="auto"/>
        <w:rPr>
          <w:rFonts w:ascii="Calibri" w:hAnsi="Calibri" w:cs="Calibri"/>
          <w:color w:val="000000"/>
        </w:rPr>
      </w:pPr>
      <w:proofErr w:type="gramStart"/>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Graphic organizers.</w:t>
      </w:r>
      <w:proofErr w:type="gramEnd"/>
      <w:r w:rsidRPr="00D1699A">
        <w:rPr>
          <w:rFonts w:ascii="Calibri" w:hAnsi="Calibri" w:cs="Calibri"/>
          <w:color w:val="000000"/>
        </w:rPr>
        <w:t xml:space="preserve">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lastRenderedPageBreak/>
        <w:t></w:t>
      </w:r>
      <w:r w:rsidRPr="00D1699A">
        <w:rPr>
          <w:rFonts w:ascii="Wingdings" w:hAnsi="Wingdings" w:cs="Wingdings"/>
          <w:color w:val="000000"/>
        </w:rPr>
        <w:t></w:t>
      </w:r>
      <w:r w:rsidRPr="00D1699A">
        <w:rPr>
          <w:rFonts w:ascii="Calibri" w:hAnsi="Calibri" w:cs="Calibri"/>
          <w:color w:val="000000"/>
        </w:rPr>
        <w:t xml:space="preserve">Creating presentations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Use of Computer Aided Design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Simulating stresses on bridge beams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Virtual battle re-enactments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Games as learning tools/facilitators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Learning language software/CDs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Video and video editing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Creating Podcasts/MP3s/Audio files </w:t>
      </w:r>
    </w:p>
    <w:p w:rsidR="00D1699A" w:rsidRPr="00D1699A" w:rsidRDefault="00D1699A" w:rsidP="00D1699A">
      <w:pPr>
        <w:autoSpaceDE w:val="0"/>
        <w:autoSpaceDN w:val="0"/>
        <w:adjustRightInd w:val="0"/>
        <w:spacing w:after="0" w:line="240" w:lineRule="auto"/>
        <w:rPr>
          <w:rFonts w:ascii="Calibri" w:hAnsi="Calibri" w:cs="Calibri"/>
          <w:color w:val="000000"/>
        </w:rPr>
      </w:pPr>
      <w:r w:rsidRPr="00D1699A">
        <w:rPr>
          <w:rFonts w:ascii="Wingdings" w:hAnsi="Wingdings" w:cs="Wingdings"/>
          <w:color w:val="000000"/>
        </w:rPr>
        <w:t></w:t>
      </w:r>
      <w:r w:rsidRPr="00D1699A">
        <w:rPr>
          <w:rFonts w:ascii="Wingdings" w:hAnsi="Wingdings" w:cs="Wingdings"/>
          <w:color w:val="000000"/>
        </w:rPr>
        <w:t></w:t>
      </w:r>
      <w:r w:rsidRPr="00D1699A">
        <w:rPr>
          <w:rFonts w:ascii="Calibri" w:hAnsi="Calibri" w:cs="Calibri"/>
          <w:color w:val="000000"/>
        </w:rPr>
        <w:t xml:space="preserve">Video conferencing </w:t>
      </w:r>
    </w:p>
    <w:p w:rsidR="000D644F" w:rsidRDefault="000D644F" w:rsidP="00D1699A">
      <w:pPr>
        <w:jc w:val="both"/>
      </w:pPr>
    </w:p>
    <w:sectPr w:rsidR="000D644F" w:rsidSect="00D1699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9A" w:rsidRDefault="00D1699A" w:rsidP="00D1699A">
      <w:pPr>
        <w:spacing w:after="0" w:line="240" w:lineRule="auto"/>
      </w:pPr>
      <w:r>
        <w:separator/>
      </w:r>
    </w:p>
  </w:endnote>
  <w:endnote w:type="continuationSeparator" w:id="0">
    <w:p w:rsidR="00D1699A" w:rsidRDefault="00D1699A" w:rsidP="00D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9A" w:rsidRPr="00D1699A" w:rsidRDefault="00D1699A" w:rsidP="00D1699A">
    <w:pPr>
      <w:pStyle w:val="Footer"/>
      <w:jc w:val="right"/>
      <w:rPr>
        <w:sz w:val="20"/>
        <w:szCs w:val="20"/>
      </w:rPr>
    </w:pPr>
    <w:r w:rsidRPr="00D1699A">
      <w:rPr>
        <w:sz w:val="20"/>
        <w:szCs w:val="20"/>
      </w:rPr>
      <w:t>IBO.org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9A" w:rsidRDefault="00D1699A" w:rsidP="00D1699A">
      <w:pPr>
        <w:spacing w:after="0" w:line="240" w:lineRule="auto"/>
      </w:pPr>
      <w:r>
        <w:separator/>
      </w:r>
    </w:p>
  </w:footnote>
  <w:footnote w:type="continuationSeparator" w:id="0">
    <w:p w:rsidR="00D1699A" w:rsidRDefault="00D1699A" w:rsidP="00D16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9A"/>
    <w:rsid w:val="000D644F"/>
    <w:rsid w:val="00D1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99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1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9A"/>
  </w:style>
  <w:style w:type="paragraph" w:styleId="Footer">
    <w:name w:val="footer"/>
    <w:basedOn w:val="Normal"/>
    <w:link w:val="FooterChar"/>
    <w:uiPriority w:val="99"/>
    <w:unhideWhenUsed/>
    <w:rsid w:val="00D1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99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1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9A"/>
  </w:style>
  <w:style w:type="paragraph" w:styleId="Footer">
    <w:name w:val="footer"/>
    <w:basedOn w:val="Normal"/>
    <w:link w:val="FooterChar"/>
    <w:uiPriority w:val="99"/>
    <w:unhideWhenUsed/>
    <w:rsid w:val="00D1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2013-03-01T14:54:00Z</dcterms:created>
  <dcterms:modified xsi:type="dcterms:W3CDTF">2013-03-01T15:02:00Z</dcterms:modified>
</cp:coreProperties>
</file>